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40BA" w14:textId="77777777" w:rsidR="00070FEB" w:rsidRDefault="000215CB">
      <w:pPr>
        <w:snapToGrid w:val="0"/>
        <w:jc w:val="center"/>
      </w:pP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國立雲林科技大學</w:t>
      </w: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113</w:t>
      </w: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學年度材料科技研究所課程流程圖</w:t>
      </w:r>
    </w:p>
    <w:p w14:paraId="53E6FAE8" w14:textId="77777777" w:rsidR="00070FEB" w:rsidRDefault="000215CB">
      <w:pPr>
        <w:snapToGrid w:val="0"/>
        <w:jc w:val="right"/>
        <w:rPr>
          <w:rFonts w:ascii="新細明體" w:hAnsi="新細明體" w:cs="新細明體,Bold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年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11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01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112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</w:t>
      </w:r>
      <w:proofErr w:type="gramStart"/>
      <w:r>
        <w:rPr>
          <w:rFonts w:ascii="新細明體" w:hAnsi="新細明體" w:cs="新細明體,Bold"/>
          <w:bCs/>
          <w:kern w:val="0"/>
          <w:sz w:val="18"/>
          <w:szCs w:val="18"/>
        </w:rPr>
        <w:t>務</w:t>
      </w:r>
      <w:proofErr w:type="gramEnd"/>
      <w:r>
        <w:rPr>
          <w:rFonts w:ascii="新細明體" w:hAnsi="新細明體" w:cs="新細明體,Bold"/>
          <w:bCs/>
          <w:kern w:val="0"/>
          <w:sz w:val="18"/>
          <w:szCs w:val="18"/>
        </w:rPr>
        <w:t>會議通過</w:t>
      </w:r>
    </w:p>
    <w:p w14:paraId="5F34803A" w14:textId="77777777" w:rsidR="00070FEB" w:rsidRDefault="000215CB">
      <w:pPr>
        <w:snapToGrid w:val="0"/>
        <w:jc w:val="right"/>
        <w:rPr>
          <w:rFonts w:ascii="新細明體" w:hAnsi="新細明體" w:cs="新細明體,Bold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年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12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12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112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3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</w:t>
      </w:r>
      <w:proofErr w:type="gramStart"/>
      <w:r>
        <w:rPr>
          <w:rFonts w:ascii="新細明體" w:hAnsi="新細明體" w:cs="新細明體,Bold"/>
          <w:bCs/>
          <w:kern w:val="0"/>
          <w:sz w:val="18"/>
          <w:szCs w:val="18"/>
        </w:rPr>
        <w:t>務</w:t>
      </w:r>
      <w:proofErr w:type="gramEnd"/>
      <w:r>
        <w:rPr>
          <w:rFonts w:ascii="新細明體" w:hAnsi="新細明體" w:cs="新細明體,Bold"/>
          <w:bCs/>
          <w:kern w:val="0"/>
          <w:sz w:val="18"/>
          <w:szCs w:val="18"/>
        </w:rPr>
        <w:t>會議修訂通過</w:t>
      </w:r>
    </w:p>
    <w:p w14:paraId="7C282B20" w14:textId="77777777" w:rsidR="00070FEB" w:rsidRDefault="000215CB">
      <w:pPr>
        <w:snapToGrid w:val="0"/>
        <w:jc w:val="right"/>
        <w:rPr>
          <w:rFonts w:ascii="新細明體" w:hAnsi="新細明體" w:cs="新細明體,Bold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113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年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4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17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112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6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</w:t>
      </w:r>
      <w:proofErr w:type="gramStart"/>
      <w:r>
        <w:rPr>
          <w:rFonts w:ascii="新細明體" w:hAnsi="新細明體" w:cs="新細明體,Bold"/>
          <w:bCs/>
          <w:kern w:val="0"/>
          <w:sz w:val="18"/>
          <w:szCs w:val="18"/>
        </w:rPr>
        <w:t>務</w:t>
      </w:r>
      <w:proofErr w:type="gramEnd"/>
      <w:r>
        <w:rPr>
          <w:rFonts w:ascii="新細明體" w:hAnsi="新細明體" w:cs="新細明體,Bold"/>
          <w:bCs/>
          <w:kern w:val="0"/>
          <w:sz w:val="18"/>
          <w:szCs w:val="18"/>
        </w:rPr>
        <w:t>會議修訂通過</w:t>
      </w:r>
    </w:p>
    <w:p w14:paraId="2C0B66B5" w14:textId="77777777" w:rsidR="00070FEB" w:rsidRDefault="000215CB">
      <w:pPr>
        <w:widowControl/>
        <w:overflowPunct w:val="0"/>
        <w:autoSpaceDE w:val="0"/>
        <w:snapToGrid w:val="0"/>
        <w:ind w:left="142" w:firstLine="284"/>
        <w:jc w:val="both"/>
      </w:pPr>
      <w:r>
        <w:rPr>
          <w:rFonts w:ascii="新細明體" w:hAnsi="新細明體" w:cs="TimesNewRoman,Bold"/>
          <w:bCs/>
          <w:kern w:val="0"/>
          <w:sz w:val="20"/>
          <w:szCs w:val="20"/>
        </w:rPr>
        <w:t>(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講授時數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實習時數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學分數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)</w:t>
      </w:r>
    </w:p>
    <w:tbl>
      <w:tblPr>
        <w:tblW w:w="88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140"/>
        <w:gridCol w:w="2218"/>
        <w:gridCol w:w="2219"/>
      </w:tblGrid>
      <w:tr w:rsidR="00070FEB" w14:paraId="7FB53156" w14:textId="77777777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88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FFC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必修科目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計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 8 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) </w:t>
            </w:r>
            <w:r>
              <w:rPr>
                <w:rFonts w:ascii="TimesNewRoman" w:hAnsi="TimesNewRoman" w:cs="TimesNew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70FEB" w14:paraId="3DC5863B" w14:textId="77777777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B69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8C8E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0B4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D85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</w:pPr>
          </w:p>
        </w:tc>
      </w:tr>
      <w:tr w:rsidR="00070FEB" w14:paraId="11CF70F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4C3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B2F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F89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48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7A7B691B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87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C9BDF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DD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二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2ED501B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494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2B9A2DE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21A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3578E87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17D86199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887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3A60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選修科目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至少應修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>26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學分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 xml:space="preserve">)  </w:t>
            </w:r>
          </w:p>
        </w:tc>
      </w:tr>
      <w:tr w:rsidR="00070FEB" w14:paraId="0D17EC3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F3A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91E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1A2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844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5425BA8C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1F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晶體繞射學</w:t>
            </w:r>
            <w:proofErr w:type="gramStart"/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＊</w:t>
            </w:r>
            <w:proofErr w:type="gramEnd"/>
          </w:p>
          <w:p w14:paraId="17FC143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8F7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材料機械性能</w:t>
            </w:r>
            <w:proofErr w:type="gramStart"/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＊</w:t>
            </w:r>
            <w:proofErr w:type="gramEnd"/>
          </w:p>
          <w:p w14:paraId="505099A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2E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三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136BD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0-2-1 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93E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四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42A8788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</w:tr>
      <w:tr w:rsidR="00070FEB" w14:paraId="47C4DCFB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7A5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計算材料學</w:t>
            </w:r>
          </w:p>
          <w:p w14:paraId="30CBD0D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B5C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固態熱力學</w:t>
            </w:r>
          </w:p>
          <w:p w14:paraId="00482A3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968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材料科技專利實務演練</w:t>
            </w:r>
          </w:p>
          <w:p w14:paraId="7202F63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369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儲能與</w:t>
            </w:r>
            <w:proofErr w:type="gramEnd"/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節能材料特論</w:t>
            </w:r>
          </w:p>
          <w:p w14:paraId="47B6B830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6AFFBE8E" w14:textId="77777777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775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高等材料科學</w:t>
            </w:r>
            <w:proofErr w:type="gramStart"/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＊</w:t>
            </w:r>
            <w:proofErr w:type="gramEnd"/>
          </w:p>
          <w:p w14:paraId="5114ABC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D2F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物理冶金</w:t>
            </w:r>
            <w:proofErr w:type="gramStart"/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＊</w:t>
            </w:r>
            <w:proofErr w:type="gramEnd"/>
          </w:p>
          <w:p w14:paraId="771CC1A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8D9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半導體積體電路製程技術</w:t>
            </w:r>
          </w:p>
          <w:p w14:paraId="6BCADD5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BD6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晶體介面結構與性能</w:t>
            </w:r>
          </w:p>
          <w:p w14:paraId="2B6208F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0E101A7E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35F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能源科技</w:t>
            </w:r>
          </w:p>
          <w:p w14:paraId="1DA8F94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930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電子顯微鏡學</w:t>
            </w:r>
          </w:p>
          <w:p w14:paraId="1F2639D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495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  <w:u w:val="single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  <w:u w:val="single"/>
              </w:rPr>
              <w:t>相變態</w:t>
            </w:r>
          </w:p>
          <w:p w14:paraId="4C5C5C5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  <w:u w:val="single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2A2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塑膠材料實務與模流大數據分析演練</w:t>
            </w:r>
            <w:r>
              <w:rPr>
                <w:kern w:val="0"/>
                <w:sz w:val="18"/>
                <w:szCs w:val="18"/>
              </w:rPr>
              <w:t>2-2-3</w:t>
            </w:r>
          </w:p>
        </w:tc>
      </w:tr>
      <w:tr w:rsidR="00070FEB" w14:paraId="642B3400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19D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材料檢測與分析</w:t>
            </w:r>
          </w:p>
          <w:p w14:paraId="7C4CD3D8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130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kern w:val="0"/>
                <w:sz w:val="18"/>
                <w:szCs w:val="18"/>
              </w:rPr>
              <w:t>綠色能源單元操作與實習</w:t>
            </w:r>
            <w:r>
              <w:rPr>
                <w:kern w:val="0"/>
                <w:sz w:val="18"/>
                <w:szCs w:val="18"/>
              </w:rPr>
              <w:t>1-2-2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1235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7D5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自旋電子學</w:t>
            </w:r>
          </w:p>
          <w:p w14:paraId="64BDE5F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kern w:val="0"/>
                <w:sz w:val="18"/>
                <w:szCs w:val="18"/>
              </w:rPr>
              <w:t>3-0-3</w:t>
            </w:r>
          </w:p>
        </w:tc>
      </w:tr>
      <w:tr w:rsidR="00070FEB" w14:paraId="44E50E20" w14:textId="7777777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E1F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固態物理學</w:t>
            </w:r>
          </w:p>
          <w:p w14:paraId="33C7347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B4F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kern w:val="0"/>
                <w:sz w:val="18"/>
                <w:szCs w:val="18"/>
              </w:rPr>
              <w:t>奈米材料及其能源應用</w:t>
            </w:r>
          </w:p>
          <w:p w14:paraId="66B2EA88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4C3A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51B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薄膜技術</w:t>
            </w:r>
          </w:p>
          <w:p w14:paraId="67FBE09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27D1BD5E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BDB7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透明電極特論</w:t>
            </w:r>
          </w:p>
          <w:p w14:paraId="3489D20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107" w14:textId="77777777" w:rsidR="00070FEB" w:rsidRDefault="000215CB">
            <w:pPr>
              <w:widowControl/>
              <w:overflowPunct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機器學習與深度學習於材料科學中的應用初探</w:t>
            </w:r>
            <w:r>
              <w:rPr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4302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78E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綠色能源與材料科技應用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7EE191D3" w14:textId="7777777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B80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>腦功能電磁激發與腦電圖物理原理</w:t>
            </w:r>
            <w:r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8ADD" w14:textId="77777777" w:rsidR="00070FEB" w:rsidRDefault="000215CB">
            <w:pPr>
              <w:snapToGrid w:val="0"/>
            </w:pPr>
            <w:r>
              <w:rPr>
                <w:rFonts w:ascii="新細明體" w:hAnsi="新細明體" w:cs="Arial"/>
                <w:sz w:val="18"/>
                <w:szCs w:val="18"/>
              </w:rPr>
              <w:t>類腦電腦的原理與材料</w:t>
            </w:r>
            <w:r>
              <w:rPr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0033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7C0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19E2E01B" w14:textId="77777777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81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磁性材料</w:t>
            </w:r>
          </w:p>
          <w:p w14:paraId="71D36D4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6B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  <w:u w:val="single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  <w:u w:val="single"/>
              </w:rPr>
              <w:t>熱處理</w:t>
            </w:r>
          </w:p>
          <w:p w14:paraId="5A4AB3D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  <w:u w:val="single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DAC8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1F05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5FDADBC0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88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24C1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基礎科目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(</w:t>
            </w:r>
            <w:r>
              <w:rPr>
                <w:rFonts w:ascii="新細明體" w:hAnsi="新細明體"/>
                <w:b/>
                <w:bCs/>
                <w:sz w:val="20"/>
                <w:szCs w:val="20"/>
              </w:rPr>
              <w:t>不納入畢業學分</w:t>
            </w:r>
            <w:r>
              <w:rPr>
                <w:rFonts w:ascii="新細明體" w:hAnsi="新細明體"/>
                <w:b/>
                <w:bCs/>
                <w:sz w:val="20"/>
                <w:szCs w:val="20"/>
              </w:rPr>
              <w:t>)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>＊</w:t>
            </w:r>
            <w:proofErr w:type="gramEnd"/>
          </w:p>
        </w:tc>
      </w:tr>
      <w:tr w:rsidR="00070FEB" w14:paraId="579E9093" w14:textId="7777777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343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</w:t>
            </w:r>
            <w:r>
              <w:rPr>
                <w:rFonts w:ascii="新細明體" w:hAnsi="新細明體"/>
                <w:sz w:val="18"/>
                <w:szCs w:val="18"/>
              </w:rPr>
              <w:t>(</w:t>
            </w:r>
            <w:proofErr w:type="gramStart"/>
            <w:r>
              <w:rPr>
                <w:rFonts w:ascii="新細明體" w:hAnsi="新細明體"/>
                <w:sz w:val="18"/>
                <w:szCs w:val="18"/>
              </w:rPr>
              <w:t>一</w:t>
            </w:r>
            <w:proofErr w:type="gramEnd"/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  <w:p w14:paraId="6338BED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A23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27459B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31A7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94C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5E1C2BB" w14:textId="7777777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420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物理實驗</w:t>
            </w:r>
            <w:r>
              <w:rPr>
                <w:rFonts w:ascii="新細明體" w:hAnsi="新細明體"/>
                <w:sz w:val="18"/>
                <w:szCs w:val="18"/>
              </w:rPr>
              <w:t>(</w:t>
            </w:r>
            <w:proofErr w:type="gramStart"/>
            <w:r>
              <w:rPr>
                <w:rFonts w:ascii="新細明體" w:hAnsi="新細明體"/>
                <w:sz w:val="18"/>
                <w:szCs w:val="18"/>
              </w:rPr>
              <w:t>一</w:t>
            </w:r>
            <w:proofErr w:type="gramEnd"/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  <w:p w14:paraId="727ACC3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A43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</w:p>
          <w:p w14:paraId="631D8F0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kern w:val="0"/>
                <w:sz w:val="18"/>
                <w:szCs w:val="18"/>
              </w:rPr>
              <w:t>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AB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889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0B01DAA1" w14:textId="77777777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38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化學</w:t>
            </w:r>
            <w:r>
              <w:rPr>
                <w:rFonts w:ascii="新細明體" w:hAnsi="新細明體"/>
                <w:sz w:val="18"/>
                <w:szCs w:val="18"/>
              </w:rPr>
              <w:t>(</w:t>
            </w:r>
            <w:proofErr w:type="gramStart"/>
            <w:r>
              <w:rPr>
                <w:rFonts w:ascii="新細明體" w:hAnsi="新細明體"/>
                <w:sz w:val="18"/>
                <w:szCs w:val="18"/>
              </w:rPr>
              <w:t>一</w:t>
            </w:r>
            <w:proofErr w:type="gramEnd"/>
            <w:r>
              <w:rPr>
                <w:rFonts w:ascii="新細明體" w:hAnsi="新細明體"/>
                <w:sz w:val="18"/>
                <w:szCs w:val="18"/>
              </w:rPr>
              <w:t xml:space="preserve">) </w:t>
            </w:r>
          </w:p>
          <w:p w14:paraId="740E81C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FD1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741C66E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814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CF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30F4A562" w14:textId="7777777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119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化學實驗</w:t>
            </w:r>
            <w:r>
              <w:rPr>
                <w:rFonts w:ascii="新細明體" w:hAnsi="新細明體"/>
                <w:sz w:val="18"/>
                <w:szCs w:val="18"/>
              </w:rPr>
              <w:t>(</w:t>
            </w:r>
            <w:proofErr w:type="gramStart"/>
            <w:r>
              <w:rPr>
                <w:rFonts w:ascii="新細明體" w:hAnsi="新細明體"/>
                <w:sz w:val="18"/>
                <w:szCs w:val="18"/>
              </w:rPr>
              <w:t>一</w:t>
            </w:r>
            <w:proofErr w:type="gramEnd"/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  <w:p w14:paraId="1908325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B3D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6680E0D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F48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12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D923A4B" w14:textId="7777777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76B2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593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3E296E10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3DA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AB81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</w:tbl>
    <w:p w14:paraId="1DD3458F" w14:textId="77777777" w:rsidR="00070FEB" w:rsidRDefault="000215CB">
      <w:pPr>
        <w:widowControl/>
        <w:overflowPunct w:val="0"/>
        <w:autoSpaceDE w:val="0"/>
        <w:spacing w:before="120" w:line="280" w:lineRule="exact"/>
        <w:rPr>
          <w:rFonts w:ascii="新細明體" w:hAnsi="新細明體" w:cs="新細明體"/>
          <w:b/>
          <w:kern w:val="0"/>
          <w:sz w:val="18"/>
          <w:szCs w:val="18"/>
        </w:rPr>
      </w:pPr>
      <w:r>
        <w:rPr>
          <w:rFonts w:ascii="新細明體" w:hAnsi="新細明體" w:cs="新細明體"/>
          <w:b/>
          <w:kern w:val="0"/>
          <w:sz w:val="18"/>
          <w:szCs w:val="18"/>
        </w:rPr>
        <w:t>備註：</w:t>
      </w:r>
    </w:p>
    <w:p w14:paraId="4D20519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畢業總學分為</w:t>
      </w:r>
      <w:r>
        <w:rPr>
          <w:kern w:val="0"/>
          <w:sz w:val="18"/>
          <w:szCs w:val="18"/>
        </w:rPr>
        <w:t xml:space="preserve">34 </w:t>
      </w:r>
      <w:r>
        <w:rPr>
          <w:kern w:val="0"/>
          <w:sz w:val="18"/>
          <w:szCs w:val="18"/>
        </w:rPr>
        <w:t>學分，必修學分為</w:t>
      </w:r>
      <w:r>
        <w:rPr>
          <w:kern w:val="0"/>
          <w:sz w:val="18"/>
          <w:szCs w:val="18"/>
        </w:rPr>
        <w:t>8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含畢業論文</w:t>
      </w:r>
      <w:r>
        <w:rPr>
          <w:kern w:val="0"/>
          <w:sz w:val="18"/>
          <w:szCs w:val="18"/>
        </w:rPr>
        <w:t>6</w:t>
      </w:r>
      <w:r>
        <w:rPr>
          <w:kern w:val="0"/>
          <w:sz w:val="18"/>
          <w:szCs w:val="18"/>
        </w:rPr>
        <w:t>學分及專題研討</w:t>
      </w:r>
      <w:r>
        <w:rPr>
          <w:kern w:val="0"/>
          <w:sz w:val="18"/>
          <w:szCs w:val="18"/>
        </w:rPr>
        <w:t>(</w:t>
      </w:r>
      <w:proofErr w:type="gramStart"/>
      <w:r>
        <w:rPr>
          <w:kern w:val="0"/>
          <w:sz w:val="18"/>
          <w:szCs w:val="18"/>
        </w:rPr>
        <w:t>一</w:t>
      </w:r>
      <w:proofErr w:type="gramEnd"/>
      <w:r>
        <w:rPr>
          <w:kern w:val="0"/>
          <w:sz w:val="18"/>
          <w:szCs w:val="18"/>
        </w:rPr>
        <w:t>)~</w:t>
      </w:r>
      <w:r>
        <w:rPr>
          <w:kern w:val="0"/>
          <w:sz w:val="18"/>
          <w:szCs w:val="18"/>
        </w:rPr>
        <w:t>專題研討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 xml:space="preserve">) 2 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。</w:t>
      </w:r>
    </w:p>
    <w:p w14:paraId="6BE71B7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「晶體</w:t>
      </w:r>
      <w:proofErr w:type="gramStart"/>
      <w:r>
        <w:rPr>
          <w:rFonts w:ascii="新細明體" w:hAnsi="新細明體"/>
          <w:sz w:val="18"/>
          <w:szCs w:val="18"/>
        </w:rPr>
        <w:t>繞射學</w:t>
      </w:r>
      <w:proofErr w:type="gramEnd"/>
      <w:r>
        <w:rPr>
          <w:rFonts w:ascii="新細明體" w:hAnsi="新細明體"/>
          <w:sz w:val="18"/>
          <w:szCs w:val="18"/>
        </w:rPr>
        <w:t>」及「材料機械性能」為本所研究生必須修習之科目，且其中一門須及格，另一門不得零分。</w:t>
      </w:r>
    </w:p>
    <w:p w14:paraId="1C15AFF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非材料本科系畢業者，「高等材料科學」及「物理冶金」為必須修習之科目，且皆須及格。</w:t>
      </w:r>
    </w:p>
    <w:p w14:paraId="070CB42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rFonts w:ascii="新細明體" w:hAnsi="新細明體"/>
          <w:b/>
          <w:bCs/>
          <w:sz w:val="18"/>
          <w:szCs w:val="18"/>
        </w:rPr>
      </w:pPr>
      <w:r>
        <w:rPr>
          <w:rFonts w:ascii="新細明體" w:hAnsi="新細明體"/>
          <w:b/>
          <w:bCs/>
          <w:sz w:val="18"/>
          <w:szCs w:val="18"/>
        </w:rPr>
        <w:t>上述必須修習之科目，須於本所修過</w:t>
      </w:r>
      <w:r>
        <w:rPr>
          <w:rFonts w:ascii="新細明體" w:hAnsi="新細明體"/>
          <w:b/>
          <w:bCs/>
          <w:sz w:val="18"/>
          <w:szCs w:val="18"/>
        </w:rPr>
        <w:t>2</w:t>
      </w:r>
      <w:r>
        <w:rPr>
          <w:rFonts w:ascii="新細明體" w:hAnsi="新細明體"/>
          <w:b/>
          <w:bCs/>
          <w:sz w:val="18"/>
          <w:szCs w:val="18"/>
        </w:rPr>
        <w:t>次未及格，方可修暑修課。</w:t>
      </w:r>
    </w:p>
    <w:p w14:paraId="0D682E10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sz w:val="18"/>
          <w:szCs w:val="18"/>
          <w:u w:val="single"/>
        </w:rPr>
        <w:t>非理工科系畢業者，須修習工程學院相關系所之「物理」、「物理實驗」、「化學」、「化學實驗」等基礎科目，且不納入本所畢業學分，實際應修習之科目由所</w:t>
      </w:r>
      <w:proofErr w:type="gramStart"/>
      <w:r>
        <w:rPr>
          <w:sz w:val="18"/>
          <w:szCs w:val="18"/>
          <w:u w:val="single"/>
        </w:rPr>
        <w:t>務</w:t>
      </w:r>
      <w:proofErr w:type="gramEnd"/>
      <w:r>
        <w:rPr>
          <w:sz w:val="18"/>
          <w:szCs w:val="18"/>
          <w:u w:val="single"/>
        </w:rPr>
        <w:t>會議審查決定。</w:t>
      </w:r>
    </w:p>
    <w:p w14:paraId="70BBD2E2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經指導教授之</w:t>
      </w:r>
      <w:proofErr w:type="gramStart"/>
      <w:r>
        <w:rPr>
          <w:kern w:val="0"/>
          <w:sz w:val="18"/>
          <w:szCs w:val="18"/>
        </w:rPr>
        <w:t>同意得跨校</w:t>
      </w:r>
      <w:proofErr w:type="gramEnd"/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依所</w:t>
      </w:r>
      <w:proofErr w:type="gramStart"/>
      <w:r>
        <w:rPr>
          <w:kern w:val="0"/>
          <w:sz w:val="18"/>
          <w:szCs w:val="18"/>
        </w:rPr>
        <w:t>務</w:t>
      </w:r>
      <w:proofErr w:type="gramEnd"/>
      <w:r>
        <w:rPr>
          <w:kern w:val="0"/>
          <w:sz w:val="18"/>
          <w:szCs w:val="18"/>
        </w:rPr>
        <w:t>會議決定學校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、跨所、</w:t>
      </w:r>
      <w:proofErr w:type="gramStart"/>
      <w:r>
        <w:rPr>
          <w:kern w:val="0"/>
          <w:sz w:val="18"/>
          <w:szCs w:val="18"/>
        </w:rPr>
        <w:t>跨組修課</w:t>
      </w:r>
      <w:proofErr w:type="gramEnd"/>
      <w:r>
        <w:rPr>
          <w:kern w:val="0"/>
          <w:sz w:val="18"/>
          <w:szCs w:val="18"/>
        </w:rPr>
        <w:t>，但以二門課為限。</w:t>
      </w:r>
    </w:p>
    <w:p w14:paraId="7096155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「全民國防教育軍事訓練課程」不納入</w:t>
      </w:r>
      <w:r>
        <w:rPr>
          <w:kern w:val="0"/>
          <w:sz w:val="18"/>
          <w:szCs w:val="18"/>
        </w:rPr>
        <w:t>本所畢業學分。</w:t>
      </w:r>
    </w:p>
    <w:p w14:paraId="48BDCAE0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第一學年結束前，須透過教育部台灣學術倫理教育資源中心修習通過「學術倫理教育」課程，不計入本所畢業學分數。</w:t>
      </w:r>
    </w:p>
    <w:p w14:paraId="341CE19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本所無訂定英語畢業門檻，但學生畢業前須修習通過一門所內開設的全英文課程。學生於入學前二年內通過下列其中一項英語能力標準，可至本校英檢系統填報經審核，可免修習所內開設的全英文課程。英語能力標準如下：</w:t>
      </w:r>
    </w:p>
    <w:p w14:paraId="5307657A" w14:textId="77777777" w:rsidR="00070FEB" w:rsidRDefault="000215CB">
      <w:pPr>
        <w:widowControl/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     (</w:t>
      </w:r>
      <w:proofErr w:type="gramStart"/>
      <w:r>
        <w:rPr>
          <w:kern w:val="0"/>
          <w:sz w:val="18"/>
          <w:szCs w:val="18"/>
        </w:rPr>
        <w:t>一</w:t>
      </w:r>
      <w:proofErr w:type="gramEnd"/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、全民英檢中級以上。</w:t>
      </w:r>
    </w:p>
    <w:p w14:paraId="5DCCCA51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、托福</w:t>
      </w:r>
      <w:r>
        <w:rPr>
          <w:kern w:val="0"/>
          <w:sz w:val="18"/>
          <w:szCs w:val="18"/>
        </w:rPr>
        <w:t>(TOEFL)</w:t>
      </w:r>
      <w:r>
        <w:rPr>
          <w:kern w:val="0"/>
          <w:sz w:val="18"/>
          <w:szCs w:val="18"/>
        </w:rPr>
        <w:t>測驗：</w:t>
      </w:r>
      <w:r>
        <w:rPr>
          <w:kern w:val="0"/>
          <w:sz w:val="18"/>
          <w:szCs w:val="18"/>
        </w:rPr>
        <w:t>ITP460</w:t>
      </w:r>
      <w:r>
        <w:rPr>
          <w:kern w:val="0"/>
          <w:sz w:val="18"/>
          <w:szCs w:val="18"/>
        </w:rPr>
        <w:t>分以上；</w:t>
      </w:r>
      <w:r>
        <w:rPr>
          <w:kern w:val="0"/>
          <w:sz w:val="18"/>
          <w:szCs w:val="18"/>
        </w:rPr>
        <w:t>IBT57</w:t>
      </w:r>
      <w:r>
        <w:rPr>
          <w:kern w:val="0"/>
          <w:sz w:val="18"/>
          <w:szCs w:val="18"/>
        </w:rPr>
        <w:t>分以上。</w:t>
      </w:r>
    </w:p>
    <w:p w14:paraId="147A6CD4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三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、雅思</w:t>
      </w:r>
      <w:r>
        <w:rPr>
          <w:kern w:val="0"/>
          <w:sz w:val="18"/>
          <w:szCs w:val="18"/>
        </w:rPr>
        <w:t>(IELTS) 4</w:t>
      </w:r>
      <w:r>
        <w:rPr>
          <w:kern w:val="0"/>
          <w:sz w:val="18"/>
          <w:szCs w:val="18"/>
        </w:rPr>
        <w:t>級以上。</w:t>
      </w:r>
    </w:p>
    <w:p w14:paraId="37ADCDF8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四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</w:t>
      </w:r>
      <w:proofErr w:type="gramStart"/>
      <w:r>
        <w:rPr>
          <w:kern w:val="0"/>
          <w:sz w:val="18"/>
          <w:szCs w:val="18"/>
        </w:rPr>
        <w:t>新多益</w:t>
      </w:r>
      <w:proofErr w:type="gramEnd"/>
      <w:r>
        <w:rPr>
          <w:kern w:val="0"/>
          <w:sz w:val="18"/>
          <w:szCs w:val="18"/>
        </w:rPr>
        <w:t>(NEW TOEIC)</w:t>
      </w:r>
      <w:r>
        <w:rPr>
          <w:kern w:val="0"/>
          <w:sz w:val="18"/>
          <w:szCs w:val="18"/>
        </w:rPr>
        <w:t>測驗成績</w:t>
      </w:r>
      <w:r>
        <w:rPr>
          <w:kern w:val="0"/>
          <w:sz w:val="18"/>
          <w:szCs w:val="18"/>
        </w:rPr>
        <w:t>550</w:t>
      </w:r>
      <w:r>
        <w:rPr>
          <w:kern w:val="0"/>
          <w:sz w:val="18"/>
          <w:szCs w:val="18"/>
        </w:rPr>
        <w:t>分以上。</w:t>
      </w:r>
    </w:p>
    <w:p w14:paraId="21C36B7A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五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、等同全民英檢中級以上程度之各項英語檢定考試。</w:t>
      </w:r>
    </w:p>
    <w:p w14:paraId="60FEECA1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kern w:val="0"/>
          <w:sz w:val="18"/>
          <w:szCs w:val="18"/>
        </w:rPr>
        <w:t>113</w:t>
      </w:r>
      <w:r>
        <w:rPr>
          <w:kern w:val="0"/>
          <w:sz w:val="18"/>
          <w:szCs w:val="18"/>
        </w:rPr>
        <w:t>學年度入學之研究生適用。</w:t>
      </w:r>
    </w:p>
    <w:sectPr w:rsidR="00070FEB">
      <w:footerReference w:type="default" r:id="rId7"/>
      <w:pgSz w:w="11906" w:h="16838"/>
      <w:pgMar w:top="851" w:right="851" w:bottom="567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84EE" w14:textId="77777777" w:rsidR="000215CB" w:rsidRDefault="000215CB">
      <w:r>
        <w:separator/>
      </w:r>
    </w:p>
  </w:endnote>
  <w:endnote w:type="continuationSeparator" w:id="0">
    <w:p w14:paraId="1A85D49C" w14:textId="77777777" w:rsidR="000215CB" w:rsidRDefault="000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Bold">
    <w:charset w:val="00"/>
    <w:family w:val="auto"/>
    <w:pitch w:val="default"/>
  </w:font>
  <w:font w:name="TimesNewRoman,Bold"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36F" w14:textId="77777777" w:rsidR="0015786E" w:rsidRDefault="000215CB">
    <w:pPr>
      <w:pStyle w:val="aa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BFBA" w14:textId="77777777" w:rsidR="000215CB" w:rsidRDefault="000215CB">
      <w:r>
        <w:rPr>
          <w:color w:val="000000"/>
        </w:rPr>
        <w:separator/>
      </w:r>
    </w:p>
  </w:footnote>
  <w:footnote w:type="continuationSeparator" w:id="0">
    <w:p w14:paraId="5EA46C0D" w14:textId="77777777" w:rsidR="000215CB" w:rsidRDefault="0002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1604"/>
    <w:multiLevelType w:val="multilevel"/>
    <w:tmpl w:val="9AFC2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FEB"/>
    <w:rsid w:val="000215CB"/>
    <w:rsid w:val="00070FEB"/>
    <w:rsid w:val="004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37F5"/>
  <w15:docId w15:val="{E4DD1A0B-A745-4A46-A06D-63E8852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paragraph" w:styleId="aa">
    <w:name w:val="Body Text"/>
    <w:basedOn w:val="a"/>
    <w:pPr>
      <w:spacing w:after="120"/>
    </w:pPr>
    <w:rPr>
      <w:szCs w:val="20"/>
    </w:rPr>
  </w:style>
  <w:style w:type="character" w:customStyle="1" w:styleId="ab">
    <w:name w:val="本文 字元"/>
    <w:basedOn w:val="a0"/>
    <w:rPr>
      <w:kern w:val="3"/>
      <w:sz w:val="24"/>
    </w:rPr>
  </w:style>
  <w:style w:type="character" w:customStyle="1" w:styleId="ac">
    <w:name w:val="清單段落 字元"/>
    <w:rPr>
      <w:kern w:val="3"/>
      <w:sz w:val="24"/>
      <w:szCs w:val="24"/>
    </w:rPr>
  </w:style>
  <w:style w:type="character" w:styleId="ad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 w:val="24"/>
      <w:szCs w:val="24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kern w:val="0"/>
      <w:sz w:val="22"/>
      <w:szCs w:val="22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f3">
    <w:name w:val="Title"/>
    <w:basedOn w:val="a"/>
    <w:uiPriority w:val="10"/>
    <w:qFormat/>
    <w:pPr>
      <w:autoSpaceDE w:val="0"/>
      <w:spacing w:before="66"/>
      <w:ind w:left="743" w:right="1001"/>
      <w:jc w:val="center"/>
    </w:pPr>
    <w:rPr>
      <w:rFonts w:ascii="Calibri" w:eastAsia="Calibri" w:hAnsi="Calibri" w:cs="Calibr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國立雲林科技大學材料科技研究所開會通知</dc:title>
  <dc:creator>may</dc:creator>
  <cp:lastModifiedBy>洪玉蓉</cp:lastModifiedBy>
  <cp:revision>2</cp:revision>
  <cp:lastPrinted>2024-04-18T04:19:00Z</cp:lastPrinted>
  <dcterms:created xsi:type="dcterms:W3CDTF">2024-04-23T03:17:00Z</dcterms:created>
  <dcterms:modified xsi:type="dcterms:W3CDTF">2024-04-23T03:17:00Z</dcterms:modified>
</cp:coreProperties>
</file>